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pageBreakBefore w:val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ANNEXE </w:t>
      </w:r>
    </w:p>
    <w:p w:rsidR="00000000" w:rsidDel="00000000" w:rsidP="00000000" w:rsidRDefault="00000000" w:rsidRPr="00000000" w14:paraId="00000008">
      <w:pPr>
        <w:pStyle w:val="Heading1"/>
        <w:pageBreakBefore w:val="0"/>
        <w:jc w:val="center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Le travail d’élu.e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Ce document vous permet d’imprimer facilement les différents éléments dont vous aurez besoin pour organiser l’activité, à savoir : 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160" w:line="259" w:lineRule="auto"/>
        <w:ind w:left="720" w:hanging="360"/>
        <w:jc w:val="left"/>
        <w:rPr>
          <w:u w:val="no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Exemples de résolutions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Varela Round" w:cs="Varela Round" w:eastAsia="Varela Round" w:hAnsi="Varela Rou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0" w:line="276" w:lineRule="auto"/>
        <w:ind w:left="0" w:right="0" w:firstLine="0"/>
        <w:jc w:val="center"/>
        <w:rPr>
          <w:sz w:val="40"/>
          <w:szCs w:val="40"/>
        </w:rPr>
      </w:pPr>
      <w:bookmarkStart w:colFirst="0" w:colLast="0" w:name="_heading=h.3znysh7" w:id="3"/>
      <w:bookmarkEnd w:id="3"/>
      <w:r w:rsidDel="00000000" w:rsidR="00000000" w:rsidRPr="00000000">
        <w:rPr>
          <w:sz w:val="40"/>
          <w:szCs w:val="40"/>
          <w:rtl w:val="0"/>
        </w:rPr>
        <w:t xml:space="preserve">Exemple de résolutions</w:t>
      </w:r>
    </w:p>
    <w:p w:rsidR="00000000" w:rsidDel="00000000" w:rsidP="00000000" w:rsidRDefault="00000000" w:rsidRPr="00000000" w14:paraId="00000029">
      <w:pPr>
        <w:pageBreakBefore w:val="0"/>
        <w:spacing w:after="160" w:line="259" w:lineRule="auto"/>
        <w:jc w:val="center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160" w:line="259" w:lineRule="auto"/>
        <w:jc w:val="center"/>
        <w:rPr>
          <w:rFonts w:ascii="Varela Round" w:cs="Varela Round" w:eastAsia="Varela Round" w:hAnsi="Varela Round"/>
        </w:rPr>
      </w:pPr>
      <w:bookmarkStart w:colFirst="0" w:colLast="0" w:name="_heading=h.2et92p0" w:id="4"/>
      <w:bookmarkEnd w:id="4"/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Ces résolutions ont été rédigées par des jeunes lycéens rassemblés lors de la 40ème Session nationale du PEJ-France au lycée Saint-Gaudens et issus des Lycées suivants : Lycée Wittmer, Charroles (Bourgogne-Franche-Comté) ; Maison d’éducation de la Légion d’honneur, Saint-Denis (Ile-de-France) ; Lycée de la Venise Verte, Niort (Aquitaine-Limousin-Poitou-Charentes) ; Lycée Saint Louis du Gonzague, Perpignan (Languedoc-Roussillon-Midi-Pyrénées) ; Lycée Notre-Dame de la Providence, Thionville (Alsace, Champagne-Ardenne et Lorraine) ; Lycée La Fourragère, Marseille (Provence-Alpes-Côte-d’Azur) ; Lycée Jeanne d’Arc, Clermont-Ferrand (Rhône-Alpes-Auvergne) ; Lycée Léonard de Vinci, Tremblay-en-France (Ile-de-France) ; Lycée Sainte-Agnès, Angers (Pays-de-la-Loire) ; Lycée Haute-Bruche, Schirmeck (Alsace, Champagne-Ardenne et Lorraine).</w:t>
      </w:r>
    </w:p>
    <w:p w:rsidR="00000000" w:rsidDel="00000000" w:rsidP="00000000" w:rsidRDefault="00000000" w:rsidRPr="00000000" w14:paraId="0000002B">
      <w:pPr>
        <w:pageBreakBefore w:val="0"/>
        <w:spacing w:after="160" w:line="259" w:lineRule="auto"/>
        <w:ind w:left="0" w:firstLine="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spacing w:after="160" w:line="259" w:lineRule="auto"/>
        <w:rPr>
          <w:rFonts w:ascii="Varela Round" w:cs="Varela Round" w:eastAsia="Varela Round" w:hAnsi="Varela Roun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160" w:line="259" w:lineRule="auto"/>
        <w:rPr>
          <w:rFonts w:ascii="Varela Round" w:cs="Varela Round" w:eastAsia="Varela Round" w:hAnsi="Varela Round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160" w:line="259" w:lineRule="auto"/>
        <w:jc w:val="center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b w:val="1"/>
          <w:rtl w:val="0"/>
        </w:rPr>
        <w:t xml:space="preserve">Résolution n°1</w:t>
      </w:r>
    </w:p>
    <w:p w:rsidR="00000000" w:rsidDel="00000000" w:rsidP="00000000" w:rsidRDefault="00000000" w:rsidRPr="00000000" w14:paraId="00000030">
      <w:pPr>
        <w:pageBreakBefore w:val="0"/>
        <w:spacing w:after="160" w:line="259" w:lineRule="auto"/>
        <w:jc w:val="center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b w:val="1"/>
          <w:rtl w:val="0"/>
        </w:rPr>
        <w:t xml:space="preserve">Commission du développement Régional</w:t>
      </w:r>
    </w:p>
    <w:p w:rsidR="00000000" w:rsidDel="00000000" w:rsidP="00000000" w:rsidRDefault="00000000" w:rsidRPr="00000000" w14:paraId="00000031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ageBreakBefore w:val="0"/>
        <w:spacing w:after="160" w:line="259" w:lineRule="auto"/>
        <w:jc w:val="center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b w:val="1"/>
          <w:rtl w:val="0"/>
        </w:rPr>
        <w:t xml:space="preserve">Alors que de plus en plus de régions de l’Union Européenne, à l’image de l’Ecosse ou de la Catalogne, font part de leurs revendications indépendantistes, comment l’Union Européenne et les Etats membres peuvent-ils prendre en compte les revendications autonomistes régionales sans remettre en cause son unité ?</w:t>
      </w:r>
    </w:p>
    <w:p w:rsidR="00000000" w:rsidDel="00000000" w:rsidP="00000000" w:rsidRDefault="00000000" w:rsidRPr="00000000" w14:paraId="00000033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b w:val="1"/>
          <w:rtl w:val="0"/>
        </w:rPr>
        <w:t xml:space="preserve">Le Parlement Européen des Jeunes,</w:t>
      </w:r>
    </w:p>
    <w:p w:rsidR="00000000" w:rsidDel="00000000" w:rsidP="00000000" w:rsidRDefault="00000000" w:rsidRPr="00000000" w14:paraId="00000035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A. Affirmant avec regret que certains conflits internes aux Etats-Membres découlent du manque de considération envers les revendications autonomistes de leurs régions,</w:t>
      </w:r>
    </w:p>
    <w:p w:rsidR="00000000" w:rsidDel="00000000" w:rsidP="00000000" w:rsidRDefault="00000000" w:rsidRPr="00000000" w14:paraId="00000037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B. Reconnaissant une représentation insuffisante de certaines régions au sein des parlements nationaux,</w:t>
      </w:r>
    </w:p>
    <w:p w:rsidR="00000000" w:rsidDel="00000000" w:rsidP="00000000" w:rsidRDefault="00000000" w:rsidRPr="00000000" w14:paraId="00000038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C. Etant profondément alarmé par le développement du désir d’indépendance au travers des disparités des ressources, notamment économiques, au sein des Etats-Membres,</w:t>
      </w:r>
    </w:p>
    <w:p w:rsidR="00000000" w:rsidDel="00000000" w:rsidP="00000000" w:rsidRDefault="00000000" w:rsidRPr="00000000" w14:paraId="00000039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D. Alarmé par les inégalités provoquées par la mauvaise répartition des richesses entre régions,</w:t>
      </w:r>
    </w:p>
    <w:p w:rsidR="00000000" w:rsidDel="00000000" w:rsidP="00000000" w:rsidRDefault="00000000" w:rsidRPr="00000000" w14:paraId="0000003A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E. Regrettant vivement que les différentes identités sociales et culturelles des régions ne soient pas mises en valeur dans les Etats-Membres ;</w:t>
      </w:r>
    </w:p>
    <w:p w:rsidR="00000000" w:rsidDel="00000000" w:rsidP="00000000" w:rsidRDefault="00000000" w:rsidRPr="00000000" w14:paraId="0000003B">
      <w:pPr>
        <w:pageBreakBefore w:val="0"/>
        <w:spacing w:after="160" w:line="259" w:lineRule="auto"/>
        <w:ind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1. Incite les Etats-Membres à procéder à un assouplissement constitutionnel en permettant aux régions indépendantistes d’établir les lois et directives qu’elles désirent ;</w:t>
      </w:r>
    </w:p>
    <w:p w:rsidR="00000000" w:rsidDel="00000000" w:rsidP="00000000" w:rsidRDefault="00000000" w:rsidRPr="00000000" w14:paraId="0000003D">
      <w:pPr>
        <w:pageBreakBefore w:val="0"/>
        <w:spacing w:after="160" w:line="259" w:lineRule="auto"/>
        <w:ind w:left="0" w:firstLine="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2. Demande aux Etats-Membres que la supervision des impôts se fasse d’abord par les régions ;</w:t>
      </w:r>
    </w:p>
    <w:p w:rsidR="00000000" w:rsidDel="00000000" w:rsidP="00000000" w:rsidRDefault="00000000" w:rsidRPr="00000000" w14:paraId="0000003E">
      <w:pPr>
        <w:pageBreakBefore w:val="0"/>
        <w:spacing w:after="160" w:line="259" w:lineRule="auto"/>
        <w:ind w:left="0" w:firstLine="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3. Appelle les Etats-Membres à valoriser leurs différences culturelles en mettant en place des enseignements facultatifs de leurs différentes langues régionales ;</w:t>
      </w:r>
    </w:p>
    <w:p w:rsidR="00000000" w:rsidDel="00000000" w:rsidP="00000000" w:rsidRDefault="00000000" w:rsidRPr="00000000" w14:paraId="0000003F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 </w:t>
      </w:r>
    </w:p>
    <w:p w:rsidR="00000000" w:rsidDel="00000000" w:rsidP="00000000" w:rsidRDefault="00000000" w:rsidRPr="00000000" w14:paraId="00000040">
      <w:pPr>
        <w:pageBreakBefore w:val="0"/>
        <w:spacing w:after="160" w:line="259" w:lineRule="auto"/>
        <w:rPr>
          <w:rFonts w:ascii="Varela Round" w:cs="Varela Round" w:eastAsia="Varela Round" w:hAnsi="Varela Roun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after="160" w:line="259" w:lineRule="auto"/>
        <w:jc w:val="center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b w:val="1"/>
          <w:rtl w:val="0"/>
        </w:rPr>
        <w:t xml:space="preserve">Résolution n°2</w:t>
      </w:r>
    </w:p>
    <w:p w:rsidR="00000000" w:rsidDel="00000000" w:rsidP="00000000" w:rsidRDefault="00000000" w:rsidRPr="00000000" w14:paraId="00000043">
      <w:pPr>
        <w:pageBreakBefore w:val="0"/>
        <w:spacing w:after="160" w:line="259" w:lineRule="auto"/>
        <w:jc w:val="center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b w:val="1"/>
          <w:rtl w:val="0"/>
        </w:rPr>
        <w:t xml:space="preserve">Commission des libertés civiles, de la justice et des affaires intérieures</w:t>
      </w:r>
    </w:p>
    <w:p w:rsidR="00000000" w:rsidDel="00000000" w:rsidP="00000000" w:rsidRDefault="00000000" w:rsidRPr="00000000" w14:paraId="00000044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ageBreakBefore w:val="0"/>
        <w:spacing w:after="160" w:line="259" w:lineRule="auto"/>
        <w:jc w:val="center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b w:val="1"/>
          <w:rtl w:val="0"/>
        </w:rPr>
        <w:t xml:space="preserve">Alors que l’Europe fait face à un afflux sans précédent de réfugiés, la répartition de ces personnes se fait de manière inégale entre les Etats- Membres mais également entre les régions et au sein de celles-ci, représentant parfois de véritables défis en terme de capacité d’accueil pour certains territoires. Comment l’Union européenne et les Etats-Membres peuvent-ils s’assurer que les collectivités locales soient soutenues dans cet accueil ?</w:t>
      </w:r>
    </w:p>
    <w:p w:rsidR="00000000" w:rsidDel="00000000" w:rsidP="00000000" w:rsidRDefault="00000000" w:rsidRPr="00000000" w14:paraId="00000046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 </w:t>
      </w:r>
    </w:p>
    <w:p w:rsidR="00000000" w:rsidDel="00000000" w:rsidP="00000000" w:rsidRDefault="00000000" w:rsidRPr="00000000" w14:paraId="00000047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b w:val="1"/>
          <w:rtl w:val="0"/>
        </w:rPr>
        <w:t xml:space="preserve">Le Parlement Européen des Jeunes,</w:t>
      </w:r>
    </w:p>
    <w:p w:rsidR="00000000" w:rsidDel="00000000" w:rsidP="00000000" w:rsidRDefault="00000000" w:rsidRPr="00000000" w14:paraId="00000048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A. Profondément troublé par l’adoption de mesures différentes par chacun des Etats-Membres de l’Union européenne (UE) face à la crise humanitaire des demandeurs d’asile ;</w:t>
      </w:r>
    </w:p>
    <w:p w:rsidR="00000000" w:rsidDel="00000000" w:rsidP="00000000" w:rsidRDefault="00000000" w:rsidRPr="00000000" w14:paraId="0000004A">
      <w:pPr>
        <w:pageBreakBefore w:val="0"/>
        <w:spacing w:after="160" w:line="259" w:lineRule="auto"/>
        <w:ind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after="160" w:line="259" w:lineRule="auto"/>
        <w:ind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B. Alarmé par le manque d’infrastructures pour faire face à l’ampleur de la crise humanitaire ;</w:t>
      </w:r>
    </w:p>
    <w:p w:rsidR="00000000" w:rsidDel="00000000" w:rsidP="00000000" w:rsidRDefault="00000000" w:rsidRPr="00000000" w14:paraId="0000004C">
      <w:pPr>
        <w:pageBreakBefore w:val="0"/>
        <w:spacing w:after="160" w:line="259" w:lineRule="auto"/>
        <w:ind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after="160" w:line="259" w:lineRule="auto"/>
        <w:ind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C. Ayant étudié la répartition inégale des centres d’accueil entre les pays mais aussi entre les régions ;</w:t>
      </w:r>
    </w:p>
    <w:p w:rsidR="00000000" w:rsidDel="00000000" w:rsidP="00000000" w:rsidRDefault="00000000" w:rsidRPr="00000000" w14:paraId="0000004E">
      <w:pPr>
        <w:pageBreakBefore w:val="0"/>
        <w:spacing w:after="160" w:line="259" w:lineRule="auto"/>
        <w:ind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after="160" w:line="259" w:lineRule="auto"/>
        <w:ind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D. Concerné par la surpopulation de certains centres d’accueil de demandeurs d’asile ;</w:t>
      </w:r>
    </w:p>
    <w:p w:rsidR="00000000" w:rsidDel="00000000" w:rsidP="00000000" w:rsidRDefault="00000000" w:rsidRPr="00000000" w14:paraId="00000050">
      <w:pPr>
        <w:pageBreakBefore w:val="0"/>
        <w:spacing w:after="160" w:line="259" w:lineRule="auto"/>
        <w:ind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after="160" w:line="259" w:lineRule="auto"/>
        <w:ind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E. Regrettant vivement l’isolement des réfugiés dans la société ;</w:t>
      </w:r>
    </w:p>
    <w:p w:rsidR="00000000" w:rsidDel="00000000" w:rsidP="00000000" w:rsidRDefault="00000000" w:rsidRPr="00000000" w14:paraId="00000052">
      <w:pPr>
        <w:pageBreakBefore w:val="0"/>
        <w:spacing w:after="160" w:line="259" w:lineRule="auto"/>
        <w:ind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after="160" w:line="259" w:lineRule="auto"/>
        <w:ind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 F. Remarquant avec regret que certains Etats-Membres ne respectent pas les droits des réfugiés ;</w:t>
      </w:r>
    </w:p>
    <w:p w:rsidR="00000000" w:rsidDel="00000000" w:rsidP="00000000" w:rsidRDefault="00000000" w:rsidRPr="00000000" w14:paraId="00000054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 </w:t>
      </w:r>
    </w:p>
    <w:p w:rsidR="00000000" w:rsidDel="00000000" w:rsidP="00000000" w:rsidRDefault="00000000" w:rsidRPr="00000000" w14:paraId="00000055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1. Fait appel aux 27 Etats-Membres de l’UE afin qu’ils établissent une politique commune en matière d’accueil des réfugiés ; </w:t>
      </w:r>
    </w:p>
    <w:p w:rsidR="00000000" w:rsidDel="00000000" w:rsidP="00000000" w:rsidRDefault="00000000" w:rsidRPr="00000000" w14:paraId="00000056">
      <w:pPr>
        <w:pageBreakBefore w:val="0"/>
        <w:spacing w:after="160" w:line="259" w:lineRule="auto"/>
        <w:ind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after="160" w:line="259" w:lineRule="auto"/>
        <w:ind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2. Incite à construire un nombre de centres d’accueil de demandeurs d’asiles adaptés au nombre de réfugiés ;</w:t>
      </w:r>
    </w:p>
    <w:p w:rsidR="00000000" w:rsidDel="00000000" w:rsidP="00000000" w:rsidRDefault="00000000" w:rsidRPr="00000000" w14:paraId="00000058">
      <w:pPr>
        <w:pageBreakBefore w:val="0"/>
        <w:spacing w:after="160" w:line="259" w:lineRule="auto"/>
        <w:ind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after="160" w:line="259" w:lineRule="auto"/>
        <w:ind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3. Demande que chaque Etat Membre répartisse les réfugiés ayant obtenu le droit d’asile sur son territoire de manière équitable entre ses collectivités locales, en accord avec celles-ci et selon des critères objectifs, tels que :</w:t>
      </w:r>
    </w:p>
    <w:p w:rsidR="00000000" w:rsidDel="00000000" w:rsidP="00000000" w:rsidRDefault="00000000" w:rsidRPr="00000000" w14:paraId="0000005A">
      <w:pPr>
        <w:pageBreakBefore w:val="0"/>
        <w:spacing w:after="160" w:line="259" w:lineRule="auto"/>
        <w:ind w:left="1440"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a.   </w:t>
        <w:tab/>
        <w:t xml:space="preserve">Le produit intérieur brut,</w:t>
      </w:r>
    </w:p>
    <w:p w:rsidR="00000000" w:rsidDel="00000000" w:rsidP="00000000" w:rsidRDefault="00000000" w:rsidRPr="00000000" w14:paraId="0000005B">
      <w:pPr>
        <w:pageBreakBefore w:val="0"/>
        <w:spacing w:after="160" w:line="259" w:lineRule="auto"/>
        <w:ind w:left="1440"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b.        Le taux de chômage,</w:t>
      </w:r>
    </w:p>
    <w:p w:rsidR="00000000" w:rsidDel="00000000" w:rsidP="00000000" w:rsidRDefault="00000000" w:rsidRPr="00000000" w14:paraId="0000005C">
      <w:pPr>
        <w:pageBreakBefore w:val="0"/>
        <w:spacing w:after="160" w:line="259" w:lineRule="auto"/>
        <w:ind w:left="1440"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c.        Le nombre d’habitants,</w:t>
      </w:r>
    </w:p>
    <w:p w:rsidR="00000000" w:rsidDel="00000000" w:rsidP="00000000" w:rsidRDefault="00000000" w:rsidRPr="00000000" w14:paraId="0000005D">
      <w:pPr>
        <w:pageBreakBefore w:val="0"/>
        <w:spacing w:after="160" w:line="259" w:lineRule="auto"/>
        <w:ind w:left="1440"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d.       La superficie de la collectivité locale ;</w:t>
      </w:r>
    </w:p>
    <w:p w:rsidR="00000000" w:rsidDel="00000000" w:rsidP="00000000" w:rsidRDefault="00000000" w:rsidRPr="00000000" w14:paraId="0000005E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 </w:t>
      </w:r>
    </w:p>
    <w:p w:rsidR="00000000" w:rsidDel="00000000" w:rsidP="00000000" w:rsidRDefault="00000000" w:rsidRPr="00000000" w14:paraId="0000005F">
      <w:pPr>
        <w:pageBreakBefore w:val="0"/>
        <w:spacing w:after="160" w:line="259" w:lineRule="auto"/>
        <w:rPr>
          <w:rFonts w:ascii="Varela Round" w:cs="Varela Round" w:eastAsia="Varela Round" w:hAnsi="Varela Roun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after="160" w:line="259" w:lineRule="auto"/>
        <w:jc w:val="center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b w:val="1"/>
          <w:rtl w:val="0"/>
        </w:rPr>
        <w:t xml:space="preserve">Résolution n°3</w:t>
      </w:r>
    </w:p>
    <w:p w:rsidR="00000000" w:rsidDel="00000000" w:rsidP="00000000" w:rsidRDefault="00000000" w:rsidRPr="00000000" w14:paraId="00000062">
      <w:pPr>
        <w:pageBreakBefore w:val="0"/>
        <w:spacing w:after="160" w:line="259" w:lineRule="auto"/>
        <w:jc w:val="center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b w:val="1"/>
          <w:rtl w:val="0"/>
        </w:rPr>
        <w:t xml:space="preserve">Commission de l’environnement (ENVI)</w:t>
      </w:r>
    </w:p>
    <w:p w:rsidR="00000000" w:rsidDel="00000000" w:rsidP="00000000" w:rsidRDefault="00000000" w:rsidRPr="00000000" w14:paraId="00000063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b w:val="1"/>
          <w:rtl w:val="0"/>
        </w:rPr>
        <w:t xml:space="preserve"> </w:t>
      </w:r>
    </w:p>
    <w:p w:rsidR="00000000" w:rsidDel="00000000" w:rsidP="00000000" w:rsidRDefault="00000000" w:rsidRPr="00000000" w14:paraId="00000064">
      <w:pPr>
        <w:pageBreakBefore w:val="0"/>
        <w:spacing w:after="160" w:line="259" w:lineRule="auto"/>
        <w:jc w:val="center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b w:val="1"/>
          <w:rtl w:val="0"/>
        </w:rPr>
        <w:t xml:space="preserve">Au regard des engagements de l'Union sur la réduction des émissions de gaz à effets de serre ainsi que la volonté de plus en plus affichée par les consommateurs européens d'encourager l’économie locale, comment l'Union européenne peut-elle favoriser les circuits courts de commercialisation des produits ?</w:t>
      </w:r>
    </w:p>
    <w:p w:rsidR="00000000" w:rsidDel="00000000" w:rsidP="00000000" w:rsidRDefault="00000000" w:rsidRPr="00000000" w14:paraId="00000065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 </w:t>
      </w:r>
    </w:p>
    <w:p w:rsidR="00000000" w:rsidDel="00000000" w:rsidP="00000000" w:rsidRDefault="00000000" w:rsidRPr="00000000" w14:paraId="00000066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b w:val="1"/>
          <w:rtl w:val="0"/>
        </w:rPr>
        <w:t xml:space="preserve">Le Parlement Européen des Jeunes,</w:t>
      </w:r>
    </w:p>
    <w:p w:rsidR="00000000" w:rsidDel="00000000" w:rsidP="00000000" w:rsidRDefault="00000000" w:rsidRPr="00000000" w14:paraId="00000067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A. Réalisant la nécessité de réduire la pollution liée aux transports et à la production de masse à travers le développement des circuits courts,</w:t>
      </w:r>
    </w:p>
    <w:p w:rsidR="00000000" w:rsidDel="00000000" w:rsidP="00000000" w:rsidRDefault="00000000" w:rsidRPr="00000000" w14:paraId="00000068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B.  Désirant développer la visibilité à la fois de la provenance, mais aussi du parcours du produit, dans un souci de transparence,</w:t>
      </w:r>
    </w:p>
    <w:p w:rsidR="00000000" w:rsidDel="00000000" w:rsidP="00000000" w:rsidRDefault="00000000" w:rsidRPr="00000000" w14:paraId="00000069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C. Affirmant que la promotion de l’activité des producteurs locaux est essentielle au développement des circuits courts,</w:t>
      </w:r>
    </w:p>
    <w:p w:rsidR="00000000" w:rsidDel="00000000" w:rsidP="00000000" w:rsidRDefault="00000000" w:rsidRPr="00000000" w14:paraId="0000006A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D. Observant que le prix relativement plus élevé des produits provenant de circuits courts restreint le public visé,</w:t>
      </w:r>
    </w:p>
    <w:p w:rsidR="00000000" w:rsidDel="00000000" w:rsidP="00000000" w:rsidRDefault="00000000" w:rsidRPr="00000000" w14:paraId="0000006B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E. Ayant considéré les difficultés de la distribution et de l’accessibilité des produits vendus en circuit court,</w:t>
      </w:r>
    </w:p>
    <w:p w:rsidR="00000000" w:rsidDel="00000000" w:rsidP="00000000" w:rsidRDefault="00000000" w:rsidRPr="00000000" w14:paraId="0000006C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F. Pensant que le comportement du consommateur est souvent en opposition avec l’idée des circuits courts, malgré une volonté de plus en plus affichée d´encourager l´économie locale,</w:t>
      </w:r>
    </w:p>
    <w:p w:rsidR="00000000" w:rsidDel="00000000" w:rsidP="00000000" w:rsidRDefault="00000000" w:rsidRPr="00000000" w14:paraId="0000006D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G. Remarquant avec regret la présence de nombreuses inégalités au sein de l´Union européenne (UE) et du manque de coordination entre les régions d´un même pays, concernant le développement de circuits courts,</w:t>
      </w:r>
    </w:p>
    <w:p w:rsidR="00000000" w:rsidDel="00000000" w:rsidP="00000000" w:rsidRDefault="00000000" w:rsidRPr="00000000" w14:paraId="0000006E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 H. Tout à fait conscient que les « petits producteurs » sont dépendants des grands distributeurs dominant les marchés ;</w:t>
      </w:r>
    </w:p>
    <w:p w:rsidR="00000000" w:rsidDel="00000000" w:rsidP="00000000" w:rsidRDefault="00000000" w:rsidRPr="00000000" w14:paraId="0000006F">
      <w:pPr>
        <w:pageBreakBefore w:val="0"/>
        <w:spacing w:after="160" w:line="259" w:lineRule="auto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 </w:t>
      </w:r>
    </w:p>
    <w:p w:rsidR="00000000" w:rsidDel="00000000" w:rsidP="00000000" w:rsidRDefault="00000000" w:rsidRPr="00000000" w14:paraId="00000070">
      <w:pPr>
        <w:pageBreakBefore w:val="0"/>
        <w:spacing w:after="160" w:line="259" w:lineRule="auto"/>
        <w:rPr>
          <w:rFonts w:ascii="Varela Round" w:cs="Varela Round" w:eastAsia="Varela Round" w:hAnsi="Varela Round"/>
        </w:rPr>
      </w:pPr>
      <w:bookmarkStart w:colFirst="0" w:colLast="0" w:name="_heading=h.3dy6vkm" w:id="6"/>
      <w:bookmarkEnd w:id="6"/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1. Insiste sur la mise en place d’un label mettant en avant la transparence et la traçabilité des produits, ainsi que la provenance locale des produits ; </w:t>
      </w:r>
    </w:p>
    <w:p w:rsidR="00000000" w:rsidDel="00000000" w:rsidP="00000000" w:rsidRDefault="00000000" w:rsidRPr="00000000" w14:paraId="00000071">
      <w:pPr>
        <w:pageBreakBefore w:val="0"/>
        <w:spacing w:after="160" w:line="259" w:lineRule="auto"/>
        <w:rPr>
          <w:rFonts w:ascii="Varela Round" w:cs="Varela Round" w:eastAsia="Varela Round" w:hAnsi="Varela Round"/>
        </w:rPr>
      </w:pPr>
      <w:bookmarkStart w:colFirst="0" w:colLast="0" w:name="_heading=h.1t3h5sf" w:id="7"/>
      <w:bookmarkEnd w:id="7"/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2. Demande à l’UE de subventionner des campagnes publicitaires attirant l'attention sur les producteurs et les produits des circuits courts ;</w:t>
      </w:r>
    </w:p>
    <w:p w:rsidR="00000000" w:rsidDel="00000000" w:rsidP="00000000" w:rsidRDefault="00000000" w:rsidRPr="00000000" w14:paraId="00000072">
      <w:pPr>
        <w:pageBreakBefore w:val="0"/>
        <w:spacing w:after="160" w:line="259" w:lineRule="auto"/>
        <w:rPr>
          <w:rFonts w:ascii="Varela Round" w:cs="Varela Round" w:eastAsia="Varela Round" w:hAnsi="Varela Round"/>
        </w:rPr>
      </w:pPr>
      <w:bookmarkStart w:colFirst="0" w:colLast="0" w:name="_heading=h.4d34og8" w:id="8"/>
      <w:bookmarkEnd w:id="8"/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3. Appelle les Etats-Membres à réduire l’imposition sur les produits issus de circuits courts, permettant une diminution de leur coût.</w:t>
      </w:r>
    </w:p>
    <w:p w:rsidR="00000000" w:rsidDel="00000000" w:rsidP="00000000" w:rsidRDefault="00000000" w:rsidRPr="00000000" w14:paraId="00000073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 </w:t>
      </w:r>
    </w:p>
    <w:p w:rsidR="00000000" w:rsidDel="00000000" w:rsidP="00000000" w:rsidRDefault="00000000" w:rsidRPr="00000000" w14:paraId="00000074">
      <w:pPr>
        <w:pageBreakBefore w:val="0"/>
        <w:spacing w:after="160" w:line="259" w:lineRule="auto"/>
        <w:rPr>
          <w:rFonts w:ascii="Varela Round" w:cs="Varela Round" w:eastAsia="Varela Round" w:hAnsi="Varela Roun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after="160" w:line="259" w:lineRule="auto"/>
        <w:jc w:val="center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b w:val="1"/>
          <w:rtl w:val="0"/>
        </w:rPr>
        <w:t xml:space="preserve">Résolution n°4</w:t>
      </w:r>
    </w:p>
    <w:p w:rsidR="00000000" w:rsidDel="00000000" w:rsidP="00000000" w:rsidRDefault="00000000" w:rsidRPr="00000000" w14:paraId="00000077">
      <w:pPr>
        <w:pageBreakBefore w:val="0"/>
        <w:spacing w:after="160" w:line="259" w:lineRule="auto"/>
        <w:jc w:val="center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b w:val="1"/>
          <w:rtl w:val="0"/>
        </w:rPr>
        <w:t xml:space="preserve">Commission de la Culture et de l'Éducation (1)</w:t>
      </w:r>
    </w:p>
    <w:p w:rsidR="00000000" w:rsidDel="00000000" w:rsidP="00000000" w:rsidRDefault="00000000" w:rsidRPr="00000000" w14:paraId="00000078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 </w:t>
      </w:r>
      <w:r w:rsidDel="00000000" w:rsidR="00000000" w:rsidRPr="00000000">
        <w:rPr>
          <w:rFonts w:ascii="Varela Round" w:cs="Varela Round" w:eastAsia="Varela Round" w:hAnsi="Varela Round"/>
          <w:b w:val="1"/>
          <w:rtl w:val="0"/>
        </w:rPr>
        <w:t xml:space="preserve"> </w:t>
      </w:r>
    </w:p>
    <w:p w:rsidR="00000000" w:rsidDel="00000000" w:rsidP="00000000" w:rsidRDefault="00000000" w:rsidRPr="00000000" w14:paraId="00000079">
      <w:pPr>
        <w:pageBreakBefore w:val="0"/>
        <w:spacing w:after="160" w:line="259" w:lineRule="auto"/>
        <w:jc w:val="center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b w:val="1"/>
          <w:rtl w:val="0"/>
        </w:rPr>
        <w:t xml:space="preserve">Comment l’Union européenne peut-elle favoriser la connaissance et la reconnaissance des cultures des régions Ultra périphériques et des pays et territoires d’outre-mer au sein du continent européen ?</w:t>
      </w:r>
    </w:p>
    <w:p w:rsidR="00000000" w:rsidDel="00000000" w:rsidP="00000000" w:rsidRDefault="00000000" w:rsidRPr="00000000" w14:paraId="0000007A">
      <w:pPr>
        <w:pageBreakBefore w:val="0"/>
        <w:spacing w:after="160" w:line="259" w:lineRule="auto"/>
        <w:jc w:val="center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b w:val="1"/>
          <w:rtl w:val="0"/>
        </w:rPr>
        <w:t xml:space="preserve"> </w:t>
      </w:r>
    </w:p>
    <w:p w:rsidR="00000000" w:rsidDel="00000000" w:rsidP="00000000" w:rsidRDefault="00000000" w:rsidRPr="00000000" w14:paraId="0000007B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Fonts w:ascii="Varela Round" w:cs="Varela Round" w:eastAsia="Varela Round" w:hAnsi="Varela Round"/>
          <w:b w:val="1"/>
          <w:rtl w:val="0"/>
        </w:rPr>
        <w:t xml:space="preserve">Le Parlement Européen des Jeunes,</w:t>
      </w:r>
    </w:p>
    <w:p w:rsidR="00000000" w:rsidDel="00000000" w:rsidP="00000000" w:rsidRDefault="00000000" w:rsidRPr="00000000" w14:paraId="0000007C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A. Conscient que les Régions ultra-périphériques (RUP) et les Pays et Territoires d'Outre-Mer (PTOM) ne s’identifient pas complètement à l’Union européenne (UE), ou même à leur métropole,</w:t>
      </w:r>
    </w:p>
    <w:p w:rsidR="00000000" w:rsidDel="00000000" w:rsidP="00000000" w:rsidRDefault="00000000" w:rsidRPr="00000000" w14:paraId="0000007E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B. Constatant un manque de partage culturel entre les collectivités d’outre-mer et l’UE,</w:t>
      </w:r>
    </w:p>
    <w:p w:rsidR="00000000" w:rsidDel="00000000" w:rsidP="00000000" w:rsidRDefault="00000000" w:rsidRPr="00000000" w14:paraId="0000007F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C. Préoccupé par le manque d’intérêt global de la population pour les différentes cultures des RUP et PTOM,</w:t>
      </w:r>
    </w:p>
    <w:p w:rsidR="00000000" w:rsidDel="00000000" w:rsidP="00000000" w:rsidRDefault="00000000" w:rsidRPr="00000000" w14:paraId="00000080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D. Alarmé par le manque de tolérance et les nombreux stéréotypes présents sur le continent européen envers les RUP et les PTOM,</w:t>
      </w:r>
    </w:p>
    <w:p w:rsidR="00000000" w:rsidDel="00000000" w:rsidP="00000000" w:rsidRDefault="00000000" w:rsidRPr="00000000" w14:paraId="00000081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E. Regrettant des difficultés d'accès et d'échanges entre les collectivités d’outre-mer et le continent, conséquentes au prix et à la longueur du voyage,</w:t>
      </w:r>
    </w:p>
    <w:p w:rsidR="00000000" w:rsidDel="00000000" w:rsidP="00000000" w:rsidRDefault="00000000" w:rsidRPr="00000000" w14:paraId="00000083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F. Déplorant l'influence néfaste du tourisme européen sur les collectivités locales, forçant un recul des cultures traditionnelles,</w:t>
      </w:r>
    </w:p>
    <w:p w:rsidR="00000000" w:rsidDel="00000000" w:rsidP="00000000" w:rsidRDefault="00000000" w:rsidRPr="00000000" w14:paraId="00000084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G. Observant que l'histoire et les cultures des RUP et les PTOM ne sont pas assez introduites dans les éducations dispensées par les pays membres de l'UE ;</w:t>
      </w:r>
    </w:p>
    <w:p w:rsidR="00000000" w:rsidDel="00000000" w:rsidP="00000000" w:rsidRDefault="00000000" w:rsidRPr="00000000" w14:paraId="00000085">
      <w:pPr>
        <w:pageBreakBefore w:val="0"/>
        <w:spacing w:after="160" w:line="259" w:lineRule="auto"/>
        <w:ind w:hanging="360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1. Demande aux associations concernées d'organiser un salon de l'outre-mer regroupant des représentants des différentes îles et des cultures qui y sont rattachées ;</w:t>
      </w:r>
    </w:p>
    <w:p w:rsidR="00000000" w:rsidDel="00000000" w:rsidP="00000000" w:rsidRDefault="00000000" w:rsidRPr="00000000" w14:paraId="00000087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2. Appelle la Direction générale de l'éducation et de la culture à mettre en place une exposition visant à promouvoir les cultures d'outre-mer présentée tour à tour dans les plus grandes villes de l'Union européenne ;</w:t>
      </w:r>
    </w:p>
    <w:p w:rsidR="00000000" w:rsidDel="00000000" w:rsidP="00000000" w:rsidRDefault="00000000" w:rsidRPr="00000000" w14:paraId="00000088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3. Insiste pour que la Commission européenne finance partiellement les oeuvres cinématographiques réalisées sur les territoires d'Outre-mer.</w:t>
      </w:r>
    </w:p>
    <w:p w:rsidR="00000000" w:rsidDel="00000000" w:rsidP="00000000" w:rsidRDefault="00000000" w:rsidRPr="00000000" w14:paraId="00000089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after="160" w:line="259" w:lineRule="auto"/>
        <w:jc w:val="both"/>
        <w:rPr>
          <w:rFonts w:ascii="Varela Round" w:cs="Varela Round" w:eastAsia="Varela Round" w:hAnsi="Varela Round"/>
        </w:rPr>
      </w:pPr>
      <w:r w:rsidDel="00000000" w:rsidR="00000000" w:rsidRPr="00000000">
        <w:rPr>
          <w:rFonts w:ascii="Varela Round" w:cs="Varela Round" w:eastAsia="Varela Round" w:hAnsi="Varela Round"/>
          <w:rtl w:val="0"/>
        </w:rPr>
        <w:t xml:space="preserve"> </w:t>
      </w:r>
    </w:p>
    <w:p w:rsidR="00000000" w:rsidDel="00000000" w:rsidP="00000000" w:rsidRDefault="00000000" w:rsidRPr="00000000" w14:paraId="0000008B">
      <w:pPr>
        <w:pageBreakBefore w:val="0"/>
        <w:spacing w:line="240" w:lineRule="auto"/>
        <w:rPr>
          <w:rFonts w:ascii="Varela Round" w:cs="Varela Round" w:eastAsia="Varela Round" w:hAnsi="Varela Rou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spacing w:line="240" w:lineRule="auto"/>
        <w:rPr>
          <w:rFonts w:ascii="Varela Round" w:cs="Varela Round" w:eastAsia="Varela Round" w:hAnsi="Varela Rou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line="240" w:lineRule="auto"/>
        <w:rPr>
          <w:rFonts w:ascii="Varela Round" w:cs="Varela Round" w:eastAsia="Varela Round" w:hAnsi="Varela Rou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spacing w:line="240" w:lineRule="auto"/>
        <w:rPr>
          <w:rFonts w:ascii="Varela Round" w:cs="Varela Round" w:eastAsia="Varela Round" w:hAnsi="Varela Rou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spacing w:line="240" w:lineRule="auto"/>
        <w:rPr>
          <w:rFonts w:ascii="Varela Round" w:cs="Varela Round" w:eastAsia="Varela Round" w:hAnsi="Varela Rou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spacing w:line="240" w:lineRule="auto"/>
        <w:rPr>
          <w:rFonts w:ascii="Varela Round" w:cs="Varela Round" w:eastAsia="Varela Round" w:hAnsi="Varela Rou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line="240" w:lineRule="auto"/>
        <w:rPr>
          <w:rFonts w:ascii="Varela Round" w:cs="Varela Round" w:eastAsia="Varela Round" w:hAnsi="Varela Rou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spacing w:line="240" w:lineRule="auto"/>
        <w:rPr>
          <w:rFonts w:ascii="Varela Round" w:cs="Varela Round" w:eastAsia="Varela Round" w:hAnsi="Varela Rou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133.8582677165355" w:right="1132.204724409448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arela Round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-561973</wp:posOffset>
          </wp:positionH>
          <wp:positionV relativeFrom="paragraph">
            <wp:posOffset>161925</wp:posOffset>
          </wp:positionV>
          <wp:extent cx="1535523" cy="681038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5523" cy="6810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VarelaRound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d7XxFBWeb6Qpn+McsSgsY9xANQ==">CgMxLjAyCGguZ2pkZ3hzMgloLjMwajB6bGwyCWguMWZvYjl0ZTIJaC4zem55c2g3MgloLjJldDkycDAyCGgudHlqY3d0MgloLjNkeTZ2a20yCWguMXQzaDVzZjIJaC40ZDM0b2c4OAByITF3di1ZMXhEWmwwbVlrazJUUVBESURJMWdELWVBY2x5Rw==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